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A1B82" w14:textId="77777777" w:rsidR="001563F6" w:rsidRPr="001563F6" w:rsidRDefault="001563F6" w:rsidP="006E72A1">
      <w:pPr>
        <w:pStyle w:val="Heading2"/>
        <w:spacing w:before="227" w:after="227" w:line="276" w:lineRule="auto"/>
        <w:rPr>
          <w:rFonts w:ascii="Arial" w:hAnsi="Arial"/>
          <w:bCs/>
          <w:color w:val="004225"/>
          <w:kern w:val="0"/>
          <w:sz w:val="24"/>
          <w:szCs w:val="26"/>
          <w14:ligatures w14:val="none"/>
        </w:rPr>
      </w:pPr>
      <w:r w:rsidRPr="001563F6">
        <w:rPr>
          <w:rFonts w:ascii="Arial" w:hAnsi="Arial"/>
          <w:bCs/>
          <w:color w:val="004225"/>
          <w:kern w:val="0"/>
          <w:sz w:val="24"/>
          <w:szCs w:val="26"/>
          <w14:ligatures w14:val="none"/>
        </w:rPr>
        <w:t>Hermitage Park Improvement Evaluation</w:t>
      </w:r>
    </w:p>
    <w:p w14:paraId="06FE11F0" w14:textId="77777777" w:rsidR="001563F6" w:rsidRPr="001563F6" w:rsidRDefault="001563F6" w:rsidP="001563F6">
      <w:r w:rsidRPr="001563F6">
        <w:rPr>
          <w:b/>
          <w:bCs/>
        </w:rPr>
        <w:t>Client:</w:t>
      </w:r>
      <w:r w:rsidRPr="001563F6">
        <w:t xml:space="preserve"> </w:t>
      </w:r>
      <w:r w:rsidRPr="001563F6">
        <w:rPr>
          <w:rFonts w:eastAsiaTheme="majorEastAsia" w:cstheme="majorBidi"/>
          <w:bCs/>
          <w:color w:val="004225"/>
          <w:kern w:val="0"/>
          <w:szCs w:val="17"/>
          <w14:ligatures w14:val="none"/>
        </w:rPr>
        <w:t>Argyll and Bute Council</w:t>
      </w:r>
    </w:p>
    <w:p w14:paraId="5C02D125" w14:textId="10350F8C" w:rsidR="001563F6" w:rsidRPr="001563F6" w:rsidRDefault="000E6A8E" w:rsidP="001563F6">
      <w:r>
        <w:rPr>
          <w:noProof/>
        </w:rPr>
        <w:drawing>
          <wp:anchor distT="0" distB="0" distL="114300" distR="114300" simplePos="0" relativeHeight="251658240" behindDoc="0" locked="0" layoutInCell="1" allowOverlap="1" wp14:anchorId="7525F6DF" wp14:editId="5EA22036">
            <wp:simplePos x="0" y="0"/>
            <wp:positionH relativeFrom="margin">
              <wp:align>right</wp:align>
            </wp:positionH>
            <wp:positionV relativeFrom="paragraph">
              <wp:posOffset>551180</wp:posOffset>
            </wp:positionV>
            <wp:extent cx="2705100" cy="202819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028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63F6" w:rsidRPr="001563F6">
        <w:rPr>
          <w:b/>
          <w:bCs/>
        </w:rPr>
        <w:t>Project Description:</w:t>
      </w:r>
      <w:r w:rsidR="001563F6" w:rsidRPr="001563F6">
        <w:br/>
        <w:t>Hermitage Park, Helensburgh’s only urban park, had suffered years of decline. With £3.7m from the National Lottery Heritage Fund and other partners, Argyll and Bute Council led a major regeneration to restore heritage features, improve facilities, and create a vibrant community space.</w:t>
      </w:r>
    </w:p>
    <w:p w14:paraId="731E51AE" w14:textId="4E724104" w:rsidR="001563F6" w:rsidRPr="001563F6" w:rsidRDefault="001563F6" w:rsidP="001563F6">
      <w:r w:rsidRPr="001563F6">
        <w:rPr>
          <w:b/>
          <w:bCs/>
        </w:rPr>
        <w:t>Method Undertaken:</w:t>
      </w:r>
      <w:r w:rsidRPr="001563F6">
        <w:br/>
      </w:r>
      <w:r>
        <w:t xml:space="preserve">While a Director of Hall Aitken I </w:t>
      </w:r>
      <w:r w:rsidRPr="001563F6">
        <w:t>designed an evaluation using baseline consultation data, visitor surveys, volunteer feedback, and stakeholder interviews. Comparative analysis against agreed NLHF outcomes and national Green Flag standards provided a robust framework.</w:t>
      </w:r>
    </w:p>
    <w:p w14:paraId="6D3066DC" w14:textId="77777777" w:rsidR="001563F6" w:rsidRPr="001563F6" w:rsidRDefault="001563F6" w:rsidP="001563F6">
      <w:r w:rsidRPr="001563F6">
        <w:rPr>
          <w:b/>
          <w:bCs/>
        </w:rPr>
        <w:t>Findings:</w:t>
      </w:r>
      <w:r w:rsidRPr="001563F6">
        <w:br/>
        <w:t>The park delivered significant heritage, social, and environmental benefits. Visitor numbers increased, heritage assets were preserved, a new Pavilion enhanced community activity, and training/volunteering broadened local engagement.</w:t>
      </w:r>
    </w:p>
    <w:p w14:paraId="74E7006D" w14:textId="77777777" w:rsidR="001563F6" w:rsidRPr="001563F6" w:rsidRDefault="001563F6" w:rsidP="001563F6">
      <w:r w:rsidRPr="001563F6">
        <w:rPr>
          <w:b/>
          <w:bCs/>
        </w:rPr>
        <w:t>Outcomes &amp; Benefits:</w:t>
      </w:r>
      <w:r w:rsidRPr="001563F6">
        <w:br/>
        <w:t>The evaluation demonstrated the project’s success in revitalising a valued greenspace, strengthening community pride, and ensuring sustainable management. The Council gained clear evidence for future funding bids and national recognition of Hermitage Park as a high-quality asset.</w:t>
      </w:r>
    </w:p>
    <w:p w14:paraId="18AFE2C3" w14:textId="77777777" w:rsidR="001563F6" w:rsidRDefault="001563F6">
      <w:pPr>
        <w:rPr>
          <w:b/>
          <w:bCs/>
        </w:rPr>
      </w:pPr>
      <w:r>
        <w:rPr>
          <w:b/>
          <w:bCs/>
        </w:rPr>
        <w:br w:type="page"/>
      </w:r>
    </w:p>
    <w:p w14:paraId="72803A5A" w14:textId="5E630B28" w:rsidR="001563F6" w:rsidRPr="001563F6" w:rsidRDefault="001563F6" w:rsidP="0068367A">
      <w:pPr>
        <w:pStyle w:val="Heading2"/>
        <w:spacing w:before="227" w:after="227" w:line="276" w:lineRule="auto"/>
        <w:rPr>
          <w:rFonts w:ascii="Arial" w:hAnsi="Arial"/>
          <w:bCs/>
          <w:color w:val="004225"/>
          <w:kern w:val="0"/>
          <w:sz w:val="24"/>
          <w:szCs w:val="26"/>
          <w14:ligatures w14:val="none"/>
        </w:rPr>
      </w:pPr>
      <w:r w:rsidRPr="001563F6">
        <w:rPr>
          <w:rFonts w:ascii="Arial" w:hAnsi="Arial"/>
          <w:bCs/>
          <w:color w:val="004225"/>
          <w:kern w:val="0"/>
          <w:sz w:val="24"/>
          <w:szCs w:val="26"/>
          <w14:ligatures w14:val="none"/>
        </w:rPr>
        <w:lastRenderedPageBreak/>
        <w:t>Unlocking Ambition Evaluation</w:t>
      </w:r>
    </w:p>
    <w:p w14:paraId="3C4B9471" w14:textId="77777777" w:rsidR="001563F6" w:rsidRPr="001563F6" w:rsidRDefault="001563F6" w:rsidP="001563F6">
      <w:r w:rsidRPr="001563F6">
        <w:rPr>
          <w:b/>
          <w:bCs/>
        </w:rPr>
        <w:t>Client:</w:t>
      </w:r>
      <w:r w:rsidRPr="001563F6">
        <w:t xml:space="preserve"> </w:t>
      </w:r>
      <w:r w:rsidRPr="001563F6">
        <w:rPr>
          <w:rFonts w:eastAsiaTheme="majorEastAsia" w:cstheme="majorBidi"/>
          <w:bCs/>
          <w:color w:val="004225"/>
          <w:kern w:val="0"/>
          <w:szCs w:val="17"/>
          <w14:ligatures w14:val="none"/>
        </w:rPr>
        <w:t>Scottish Enterprise</w:t>
      </w:r>
    </w:p>
    <w:p w14:paraId="3A8A95BB" w14:textId="0F058F73" w:rsidR="001563F6" w:rsidRPr="001563F6" w:rsidRDefault="0068367A" w:rsidP="001563F6">
      <w:r>
        <w:rPr>
          <w:noProof/>
        </w:rPr>
        <w:drawing>
          <wp:anchor distT="0" distB="0" distL="114300" distR="114300" simplePos="0" relativeHeight="251659264" behindDoc="0" locked="0" layoutInCell="1" allowOverlap="1" wp14:anchorId="5837ABE9" wp14:editId="635CF32F">
            <wp:simplePos x="0" y="0"/>
            <wp:positionH relativeFrom="margin">
              <wp:align>right</wp:align>
            </wp:positionH>
            <wp:positionV relativeFrom="paragraph">
              <wp:posOffset>212090</wp:posOffset>
            </wp:positionV>
            <wp:extent cx="3632200" cy="2113915"/>
            <wp:effectExtent l="0" t="0" r="635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0" cy="2113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63F6" w:rsidRPr="001563F6">
        <w:rPr>
          <w:b/>
          <w:bCs/>
        </w:rPr>
        <w:t>Project Description:</w:t>
      </w:r>
      <w:r w:rsidR="001563F6" w:rsidRPr="001563F6">
        <w:br/>
        <w:t>Scottish Enterprise commissioned an evaluation of the Unlocking Ambition (UA) programme, a flagship initiative launched in 2018 to support entrepreneurs with high growth potential. The programme provided wrap-around support including funding, mentoring, training, and networks to help businesses scale and deliver social and economic value.</w:t>
      </w:r>
    </w:p>
    <w:p w14:paraId="719F093D" w14:textId="13E9E512" w:rsidR="001563F6" w:rsidRPr="001563F6" w:rsidRDefault="001563F6" w:rsidP="001563F6">
      <w:r w:rsidRPr="001563F6">
        <w:rPr>
          <w:b/>
          <w:bCs/>
        </w:rPr>
        <w:t>Method Undertaken:</w:t>
      </w:r>
      <w:r w:rsidRPr="001563F6">
        <w:br/>
      </w:r>
      <w:r>
        <w:t xml:space="preserve">I </w:t>
      </w:r>
      <w:r w:rsidRPr="001563F6">
        <w:t>reviewed</w:t>
      </w:r>
      <w:r>
        <w:t xml:space="preserve"> while with Hall Aitken the completed</w:t>
      </w:r>
      <w:r w:rsidRPr="001563F6">
        <w:t xml:space="preserve"> UA1 outcomes through surveys and progress tracking, while </w:t>
      </w:r>
      <w:r>
        <w:t xml:space="preserve">the ongoing </w:t>
      </w:r>
      <w:r w:rsidRPr="001563F6">
        <w:t>UA2 was assessed using online surveys, telephone interviews, and analysis of programme data. The approach compared in-person support from UA1 with online delivery in UA2.</w:t>
      </w:r>
    </w:p>
    <w:p w14:paraId="7D324EFC" w14:textId="77777777" w:rsidR="001563F6" w:rsidRPr="001563F6" w:rsidRDefault="001563F6" w:rsidP="001563F6">
      <w:r w:rsidRPr="001563F6">
        <w:rPr>
          <w:b/>
          <w:bCs/>
        </w:rPr>
        <w:t>Findings:</w:t>
      </w:r>
      <w:r w:rsidRPr="001563F6">
        <w:br/>
        <w:t>UA participants demonstrated tangible growth, with increases in jobs, sales, investment, and collaborations. Businesses also embedded purpose-driven values, fair work practices, and stronger leadership. Covid-19 challenges were acknowledged, but many companies reported resilience and innovation.</w:t>
      </w:r>
    </w:p>
    <w:p w14:paraId="0E0D140F" w14:textId="77777777" w:rsidR="001563F6" w:rsidRPr="001563F6" w:rsidRDefault="001563F6" w:rsidP="001563F6">
      <w:r w:rsidRPr="001563F6">
        <w:rPr>
          <w:b/>
          <w:bCs/>
        </w:rPr>
        <w:t>Outcomes &amp; Benefits:</w:t>
      </w:r>
      <w:r w:rsidRPr="001563F6">
        <w:br/>
        <w:t>The evaluation evidenced that Unlocking Ambition created significant economic and social impact, positioning participants as purpose-led leaders and scaling businesses. Scottish Enterprise gained actionable insights to refine future rounds (UA3/UA4), ensuring the programme continues to drive inclusive entrepreneurship and long-term economic benefits for Scotland.</w:t>
      </w:r>
    </w:p>
    <w:p w14:paraId="6947EE9F" w14:textId="51D3FCB5" w:rsidR="0008543A" w:rsidRPr="001563F6" w:rsidRDefault="00EF27DD" w:rsidP="0008543A">
      <w:pPr>
        <w:pStyle w:val="Heading2"/>
        <w:spacing w:before="227" w:after="227" w:line="276" w:lineRule="auto"/>
        <w:rPr>
          <w:rFonts w:ascii="Arial" w:hAnsi="Arial"/>
          <w:bCs/>
          <w:color w:val="004225"/>
          <w:kern w:val="0"/>
          <w:sz w:val="24"/>
          <w:szCs w:val="26"/>
          <w14:ligatures w14:val="none"/>
        </w:rPr>
      </w:pPr>
      <w:r>
        <w:rPr>
          <w:rFonts w:ascii="Arial" w:hAnsi="Arial"/>
          <w:bCs/>
          <w:color w:val="004225"/>
          <w:kern w:val="0"/>
          <w:sz w:val="24"/>
          <w:szCs w:val="26"/>
          <w14:ligatures w14:val="none"/>
        </w:rPr>
        <w:t>Active England</w:t>
      </w:r>
    </w:p>
    <w:p w14:paraId="079A27BA" w14:textId="42E78189" w:rsidR="0008543A" w:rsidRPr="001563F6" w:rsidRDefault="0008543A" w:rsidP="0008543A">
      <w:r w:rsidRPr="001563F6">
        <w:rPr>
          <w:b/>
          <w:bCs/>
        </w:rPr>
        <w:t>Client:</w:t>
      </w:r>
      <w:r w:rsidRPr="001563F6">
        <w:t xml:space="preserve"> </w:t>
      </w:r>
      <w:r w:rsidR="00EF27DD">
        <w:rPr>
          <w:rFonts w:eastAsiaTheme="majorEastAsia" w:cstheme="majorBidi"/>
          <w:bCs/>
          <w:color w:val="004225"/>
          <w:kern w:val="0"/>
          <w:szCs w:val="17"/>
          <w14:ligatures w14:val="none"/>
        </w:rPr>
        <w:t>Sport England</w:t>
      </w:r>
    </w:p>
    <w:p w14:paraId="3FF2CC82" w14:textId="495576FC" w:rsidR="0008543A" w:rsidRPr="001563F6" w:rsidRDefault="0008543A" w:rsidP="0008543A">
      <w:r w:rsidRPr="001563F6">
        <w:rPr>
          <w:b/>
          <w:bCs/>
        </w:rPr>
        <w:t>Project Description:</w:t>
      </w:r>
      <w:r w:rsidRPr="001563F6">
        <w:br/>
      </w:r>
      <w:r w:rsidR="006A2D2D">
        <w:t>In partnership with National Lottery Community Fund</w:t>
      </w:r>
      <w:r w:rsidR="00F03702">
        <w:t xml:space="preserve"> £100m was invested in 240 projects across England to stimulate increased participation in sport and physical activity.</w:t>
      </w:r>
    </w:p>
    <w:p w14:paraId="609C6B12" w14:textId="34244506" w:rsidR="0008543A" w:rsidRPr="001563F6" w:rsidRDefault="0008543A" w:rsidP="0008543A">
      <w:r w:rsidRPr="001563F6">
        <w:rPr>
          <w:b/>
          <w:bCs/>
        </w:rPr>
        <w:t>Method Undertaken:</w:t>
      </w:r>
      <w:r w:rsidRPr="001563F6">
        <w:br/>
      </w:r>
      <w:r w:rsidR="00434C7D">
        <w:t>Across 9 regions in En</w:t>
      </w:r>
      <w:r w:rsidR="005B43C0">
        <w:t>g</w:t>
      </w:r>
      <w:r w:rsidR="00434C7D">
        <w:t xml:space="preserve">land I </w:t>
      </w:r>
      <w:r w:rsidR="005B43C0">
        <w:t>helped eac</w:t>
      </w:r>
      <w:r w:rsidR="00895172">
        <w:t>h</w:t>
      </w:r>
      <w:r w:rsidR="005B43C0">
        <w:t xml:space="preserve"> of these projects </w:t>
      </w:r>
      <w:r w:rsidR="00895172">
        <w:t xml:space="preserve">understand the outcomes they wished to achieve and how these fitted with the core outcomes of the programme.  Specific Key Performance Indicators (KPIs) </w:t>
      </w:r>
      <w:r w:rsidR="0032134E">
        <w:t xml:space="preserve">were outlined to project staff in a Guide to Monitoring and Evaluation. </w:t>
      </w:r>
      <w:r w:rsidR="00AA26DA">
        <w:t xml:space="preserve">Through direct data collection through a customised data collection tool (Value </w:t>
      </w:r>
      <w:r w:rsidR="00AA26DA">
        <w:lastRenderedPageBreak/>
        <w:t>Mapping), stakeholder interviews, case studies and annual conferen</w:t>
      </w:r>
      <w:r w:rsidR="00191068">
        <w:t>ces then qualitative and quantitative data was collected.</w:t>
      </w:r>
    </w:p>
    <w:p w14:paraId="6BC47531" w14:textId="64F9C674" w:rsidR="0008543A" w:rsidRPr="001563F6" w:rsidRDefault="0008543A" w:rsidP="0008543A">
      <w:r w:rsidRPr="001563F6">
        <w:rPr>
          <w:b/>
          <w:bCs/>
        </w:rPr>
        <w:t>Findings:</w:t>
      </w:r>
      <w:r w:rsidRPr="001563F6">
        <w:br/>
      </w:r>
      <w:r w:rsidR="00191068">
        <w:t xml:space="preserve">Active </w:t>
      </w:r>
      <w:r w:rsidR="006C2AB4">
        <w:t>Engl</w:t>
      </w:r>
      <w:r w:rsidR="007F333D">
        <w:t>an</w:t>
      </w:r>
      <w:r w:rsidR="006C2AB4">
        <w:t xml:space="preserve">d allowed </w:t>
      </w:r>
      <w:r w:rsidR="006A48F3">
        <w:t xml:space="preserve">us to identify what works for a range of thematic projects such as those using open/green space, </w:t>
      </w:r>
      <w:r w:rsidR="00CA7437">
        <w:t xml:space="preserve">water-based, Black and </w:t>
      </w:r>
      <w:r w:rsidR="007F333D">
        <w:t xml:space="preserve">Minority Ethnic Communities, women and people with Disabilities. </w:t>
      </w:r>
      <w:r w:rsidR="002D29CA">
        <w:t xml:space="preserve">Annual conferences that brought together projects, staff and stakeholders were delivered in </w:t>
      </w:r>
      <w:r w:rsidR="00472ADF">
        <w:t>venues such as Milton Keyn</w:t>
      </w:r>
      <w:r w:rsidR="003155A4">
        <w:t>e</w:t>
      </w:r>
      <w:r w:rsidR="00472ADF">
        <w:t>s Hockey Stadium and Bolton Football ground</w:t>
      </w:r>
      <w:r w:rsidR="003155A4">
        <w:t xml:space="preserve"> to better share learning.</w:t>
      </w:r>
    </w:p>
    <w:p w14:paraId="4530AD56" w14:textId="77777777" w:rsidR="00E301FA" w:rsidRDefault="0008543A" w:rsidP="0008543A">
      <w:pPr>
        <w:rPr>
          <w:b/>
          <w:bCs/>
        </w:rPr>
      </w:pPr>
      <w:r w:rsidRPr="001563F6">
        <w:rPr>
          <w:b/>
          <w:bCs/>
        </w:rPr>
        <w:t>Outcomes &amp; Benefits:</w:t>
      </w:r>
    </w:p>
    <w:p w14:paraId="6AD0C8F7" w14:textId="230B3045" w:rsidR="0008543A" w:rsidRPr="006024C1" w:rsidRDefault="007F333D" w:rsidP="0008543A">
      <w:r w:rsidRPr="006024C1">
        <w:t xml:space="preserve">Case studies that gathered the </w:t>
      </w:r>
      <w:r w:rsidR="00DD5F56" w:rsidRPr="006024C1">
        <w:t xml:space="preserve">lessons learned </w:t>
      </w:r>
      <w:r w:rsidR="006024C1" w:rsidRPr="006024C1">
        <w:t>were</w:t>
      </w:r>
      <w:r w:rsidR="006024C1">
        <w:t xml:space="preserve"> compiled and </w:t>
      </w:r>
      <w:r w:rsidR="00314F13">
        <w:t xml:space="preserve">promoted through a programme specific website and Sport England s website.  In </w:t>
      </w:r>
      <w:r w:rsidR="00444BD8">
        <w:t>addition,</w:t>
      </w:r>
      <w:r w:rsidR="00314F13">
        <w:t xml:space="preserve"> the mo</w:t>
      </w:r>
      <w:r w:rsidR="002D29CA">
        <w:t>n</w:t>
      </w:r>
      <w:r w:rsidR="00314F13">
        <w:t>itoring and evaluation tools that were used by projects were made available to other projects keen to measure and report on their activities.</w:t>
      </w:r>
      <w:r w:rsidR="0008543A" w:rsidRPr="006024C1">
        <w:br/>
      </w:r>
    </w:p>
    <w:p w14:paraId="63C1A774" w14:textId="6F263DAF" w:rsidR="0098062C" w:rsidRPr="0098062C" w:rsidRDefault="0098062C" w:rsidP="0098062C">
      <w:pPr>
        <w:pStyle w:val="Heading2"/>
        <w:spacing w:before="227" w:after="227" w:line="276" w:lineRule="auto"/>
        <w:rPr>
          <w:rFonts w:ascii="Arial" w:hAnsi="Arial"/>
          <w:bCs/>
          <w:color w:val="004225"/>
          <w:kern w:val="0"/>
          <w:sz w:val="24"/>
          <w:szCs w:val="26"/>
          <w14:ligatures w14:val="none"/>
        </w:rPr>
      </w:pPr>
      <w:r w:rsidRPr="0098062C">
        <w:rPr>
          <w:rFonts w:ascii="Arial" w:hAnsi="Arial"/>
          <w:bCs/>
          <w:color w:val="004225"/>
          <w:kern w:val="0"/>
          <w:sz w:val="24"/>
          <w:szCs w:val="26"/>
          <w14:ligatures w14:val="none"/>
        </w:rPr>
        <w:t>Evaluation of County Coaching programme</w:t>
      </w:r>
    </w:p>
    <w:p w14:paraId="497FD10C" w14:textId="45EE16A1" w:rsidR="0098062C" w:rsidRPr="0098062C" w:rsidRDefault="0098062C" w:rsidP="0098062C">
      <w:r>
        <w:t>Client: Sport England</w:t>
      </w:r>
    </w:p>
    <w:p w14:paraId="57C54BA7" w14:textId="77777777" w:rsidR="0098062C" w:rsidRPr="0098062C" w:rsidRDefault="0098062C" w:rsidP="0098062C">
      <w:hyperlink r:id="rId6" w:history="1">
        <w:r w:rsidRPr="0098062C">
          <w:rPr>
            <w:rStyle w:val="Hyperlink"/>
          </w:rPr>
          <w:t>Sport England</w:t>
        </w:r>
      </w:hyperlink>
      <w:r w:rsidRPr="0098062C">
        <w:t> is the arms-length body of government, responsible for growing and developing grassroots sport and getting more people active across England. Its strategy, </w:t>
      </w:r>
      <w:r w:rsidRPr="0098062C">
        <w:rPr>
          <w:i/>
          <w:iCs/>
        </w:rPr>
        <w:t>Towards an Active Nation,</w:t>
      </w:r>
      <w:r w:rsidRPr="0098062C">
        <w:t> sets out how it works with national and local partners to ensure everyone in England can benefit from sport and physical activity.</w:t>
      </w:r>
    </w:p>
    <w:p w14:paraId="46F43A68" w14:textId="77777777" w:rsidR="0098062C" w:rsidRPr="0098062C" w:rsidRDefault="0098062C" w:rsidP="0098062C">
      <w:r w:rsidRPr="0098062C">
        <w:t>Over an 18-month period, Sport England invested £2million in 43 County Sports Partnerships (CSPs) to implement its strategy for </w:t>
      </w:r>
      <w:r w:rsidRPr="0098062C">
        <w:rPr>
          <w:i/>
          <w:iCs/>
        </w:rPr>
        <w:t>Coaching an Active Nation</w:t>
      </w:r>
      <w:r w:rsidRPr="0098062C">
        <w:t>. CSPs were given the freedom to try new approaches in engaging with new audiences to broaden the appeal of coaching.</w:t>
      </w:r>
    </w:p>
    <w:p w14:paraId="22718179" w14:textId="20B57CB8" w:rsidR="0098062C" w:rsidRPr="0098062C" w:rsidRDefault="0098062C" w:rsidP="0098062C">
      <w:proofErr w:type="spellStart"/>
      <w:r>
        <w:t>WhIle</w:t>
      </w:r>
      <w:proofErr w:type="spellEnd"/>
      <w:r>
        <w:t xml:space="preserve"> with </w:t>
      </w:r>
      <w:r w:rsidRPr="0098062C">
        <w:t xml:space="preserve">Hall Aitken </w:t>
      </w:r>
      <w:r>
        <w:t xml:space="preserve">I </w:t>
      </w:r>
      <w:r w:rsidRPr="0098062C">
        <w:t>was asked to evaluate the systemic change created by this investment and to identify how this can be sustained into the future.</w:t>
      </w:r>
    </w:p>
    <w:p w14:paraId="7780C2B0" w14:textId="17906368" w:rsidR="0098062C" w:rsidRPr="0098062C" w:rsidRDefault="00D54D72" w:rsidP="0098062C">
      <w:r>
        <w:rPr>
          <w:b/>
          <w:bCs/>
        </w:rPr>
        <w:t>Method:</w:t>
      </w:r>
      <w:r w:rsidR="0098062C" w:rsidRPr="0098062C">
        <w:rPr>
          <w:b/>
          <w:bCs/>
        </w:rPr>
        <w:t> </w:t>
      </w:r>
      <w:r>
        <w:t>I</w:t>
      </w:r>
      <w:r w:rsidR="0098062C" w:rsidRPr="0098062C">
        <w:t xml:space="preserve"> carried out a full document review and then focussed on engaging with people involved in the CSPs’ activities. </w:t>
      </w:r>
      <w:r>
        <w:t>I</w:t>
      </w:r>
      <w:r w:rsidR="0098062C" w:rsidRPr="0098062C">
        <w:t xml:space="preserve"> conducted a web-based survey of CSP coaching contacts and 10 interviews with individuals from CSPs and Sport England. </w:t>
      </w:r>
      <w:r>
        <w:t>I</w:t>
      </w:r>
      <w:r w:rsidR="0098062C" w:rsidRPr="0098062C">
        <w:t xml:space="preserve"> made four visits to develop cases studies. </w:t>
      </w:r>
    </w:p>
    <w:p w14:paraId="21B9E1EF" w14:textId="5075048C" w:rsidR="0098062C" w:rsidRPr="0098062C" w:rsidRDefault="00D54D72" w:rsidP="0098062C">
      <w:r>
        <w:rPr>
          <w:b/>
          <w:bCs/>
        </w:rPr>
        <w:t>Finding:</w:t>
      </w:r>
      <w:r w:rsidR="0098062C" w:rsidRPr="0098062C">
        <w:rPr>
          <w:b/>
          <w:bCs/>
        </w:rPr>
        <w:t> </w:t>
      </w:r>
      <w:r w:rsidR="0098062C" w:rsidRPr="0098062C">
        <w:t>We identified that the investment had achieved three related areas of positive impact: greater partnership working; better community engagement and more time to learn and share.  Work with non-traditional bodies helped recruit more coaches and we estimated that 18,275 additional coaches ha</w:t>
      </w:r>
      <w:r>
        <w:t>d</w:t>
      </w:r>
      <w:r w:rsidR="0098062C" w:rsidRPr="0098062C">
        <w:t xml:space="preserve"> been supported since 2016.  CSP staff and stakeholders reported the programme is changing the culture, broadening the definition of coaches and increasing the emphasis on softer skills. </w:t>
      </w:r>
    </w:p>
    <w:p w14:paraId="2D1DF3AB" w14:textId="451D301F" w:rsidR="00D54D72" w:rsidRPr="0098062C" w:rsidRDefault="00D54D72" w:rsidP="00D54D72">
      <w:pPr>
        <w:rPr>
          <w:i/>
          <w:iCs/>
        </w:rPr>
      </w:pPr>
      <w:r>
        <w:rPr>
          <w:b/>
          <w:bCs/>
        </w:rPr>
        <w:t xml:space="preserve">Outcomes and benefits: </w:t>
      </w:r>
      <w:r w:rsidRPr="0098062C">
        <w:t>Because of our work</w:t>
      </w:r>
      <w:r w:rsidRPr="00D54D72">
        <w:t xml:space="preserve"> </w:t>
      </w:r>
      <w:r w:rsidRPr="0098062C">
        <w:t>Sport England understood the positive impacts of its initiative and investment in coaching and was able to use that evidence to inform future programmes and changes in coaching.</w:t>
      </w:r>
    </w:p>
    <w:p w14:paraId="731D5B5F" w14:textId="7119B4E5" w:rsidR="0098062C" w:rsidRPr="0098062C" w:rsidRDefault="0098062C" w:rsidP="0098062C"/>
    <w:p w14:paraId="6CA6C550" w14:textId="0747E4A3" w:rsidR="00FF2DDB" w:rsidRPr="0098062C" w:rsidRDefault="005E3C18" w:rsidP="00FF2DDB">
      <w:pPr>
        <w:pStyle w:val="Heading2"/>
        <w:spacing w:before="227" w:after="227" w:line="276" w:lineRule="auto"/>
        <w:rPr>
          <w:rFonts w:ascii="Arial" w:hAnsi="Arial"/>
          <w:bCs/>
          <w:color w:val="004225"/>
          <w:kern w:val="0"/>
          <w:sz w:val="24"/>
          <w:szCs w:val="26"/>
          <w14:ligatures w14:val="none"/>
        </w:rPr>
      </w:pPr>
      <w:r>
        <w:rPr>
          <w:rFonts w:ascii="Arial" w:hAnsi="Arial"/>
          <w:bCs/>
          <w:color w:val="004225"/>
          <w:kern w:val="0"/>
          <w:sz w:val="24"/>
          <w:szCs w:val="26"/>
          <w14:ligatures w14:val="none"/>
        </w:rPr>
        <w:lastRenderedPageBreak/>
        <w:t xml:space="preserve">SROI </w:t>
      </w:r>
      <w:r w:rsidR="00FF2DDB" w:rsidRPr="0098062C">
        <w:rPr>
          <w:rFonts w:ascii="Arial" w:hAnsi="Arial"/>
          <w:bCs/>
          <w:color w:val="004225"/>
          <w:kern w:val="0"/>
          <w:sz w:val="24"/>
          <w:szCs w:val="26"/>
          <w14:ligatures w14:val="none"/>
        </w:rPr>
        <w:t xml:space="preserve">Evaluation of </w:t>
      </w:r>
      <w:r w:rsidR="00FF2DDB">
        <w:rPr>
          <w:rFonts w:ascii="Arial" w:hAnsi="Arial"/>
          <w:bCs/>
          <w:color w:val="004225"/>
          <w:kern w:val="0"/>
          <w:sz w:val="24"/>
          <w:szCs w:val="26"/>
          <w14:ligatures w14:val="none"/>
        </w:rPr>
        <w:t>Sustain Falkirk</w:t>
      </w:r>
    </w:p>
    <w:p w14:paraId="54EC717E" w14:textId="6EE15FB4" w:rsidR="00FF2DDB" w:rsidRPr="0098062C" w:rsidRDefault="00FF2DDB" w:rsidP="00FF2DDB">
      <w:r>
        <w:t>Client:</w:t>
      </w:r>
      <w:r w:rsidR="00D21BDD">
        <w:t xml:space="preserve"> </w:t>
      </w:r>
      <w:proofErr w:type="spellStart"/>
      <w:r w:rsidR="00D21BDD">
        <w:t>Aberlour</w:t>
      </w:r>
      <w:proofErr w:type="spellEnd"/>
      <w:r w:rsidR="00D21BDD">
        <w:t xml:space="preserve"> Children’s Charity</w:t>
      </w:r>
    </w:p>
    <w:p w14:paraId="011AA5F4" w14:textId="758EB38C" w:rsidR="00E46C79" w:rsidRPr="00E46C79" w:rsidRDefault="00F7394D" w:rsidP="00E46C79">
      <w:r w:rsidRPr="00F7394D">
        <w:t>While Director of Social Value Lab</w:t>
      </w:r>
      <w:r w:rsidRPr="00F7394D">
        <w:rPr>
          <w:b/>
          <w:bCs/>
        </w:rPr>
        <w:t xml:space="preserve"> </w:t>
      </w:r>
      <w:r w:rsidRPr="00F7394D">
        <w:t>I</w:t>
      </w:r>
      <w:r w:rsidRPr="0098062C">
        <w:t xml:space="preserve"> </w:t>
      </w:r>
      <w:r w:rsidRPr="00F7394D">
        <w:t>led the evaluation</w:t>
      </w:r>
      <w:r>
        <w:t>.</w:t>
      </w:r>
      <w:r w:rsidRPr="00F7394D">
        <w:t xml:space="preserve"> </w:t>
      </w:r>
      <w:r w:rsidR="00E46C79" w:rsidRPr="00E46C79">
        <w:t>Sustain supports whole families, offering personalised support for both children and their parents. The service is delivered 7 days a week including evenings and weekends.</w:t>
      </w:r>
      <w:r w:rsidR="00981D3C">
        <w:t xml:space="preserve"> </w:t>
      </w:r>
      <w:r w:rsidR="00E46C79" w:rsidRPr="00E46C79">
        <w:t>The support offered is both emotional and practical. The service works with families and parents to secure a nurturing environment for children aged 12-18. It also supports parents, carers, and kinship carers to develop their ability to care for their children, provide practical parenting skills and help build their ability to engage with the community.</w:t>
      </w:r>
      <w:r w:rsidR="00981D3C">
        <w:t xml:space="preserve">  </w:t>
      </w:r>
      <w:r w:rsidR="00E46C79" w:rsidRPr="00E46C79">
        <w:t>The service is flexible in its intensity and aims to encourage the building of family routines, resilience and improve parental confidence.</w:t>
      </w:r>
      <w:r w:rsidR="00981D3C">
        <w:t xml:space="preserve"> </w:t>
      </w:r>
      <w:r w:rsidR="00E46C79" w:rsidRPr="00E46C79">
        <w:t>All referrals come through Falkirk Council.</w:t>
      </w:r>
    </w:p>
    <w:p w14:paraId="7F3B12B8" w14:textId="38DC46C1" w:rsidR="00FF2DDB" w:rsidRPr="0098062C" w:rsidRDefault="00FF2DDB" w:rsidP="00FF2DDB">
      <w:r>
        <w:rPr>
          <w:b/>
          <w:bCs/>
        </w:rPr>
        <w:t>Method:</w:t>
      </w:r>
      <w:r w:rsidRPr="0098062C">
        <w:rPr>
          <w:b/>
          <w:bCs/>
        </w:rPr>
        <w:t> </w:t>
      </w:r>
      <w:r w:rsidR="004A2B19">
        <w:t xml:space="preserve"> </w:t>
      </w:r>
      <w:r w:rsidR="00F7394D" w:rsidRPr="00F7394D">
        <w:t xml:space="preserve">We used a mixed methods approach to this </w:t>
      </w:r>
      <w:proofErr w:type="gramStart"/>
      <w:r w:rsidR="00F7394D" w:rsidRPr="00F7394D">
        <w:t xml:space="preserve">evaluation, </w:t>
      </w:r>
      <w:r w:rsidR="00981D3C">
        <w:t xml:space="preserve"> </w:t>
      </w:r>
      <w:r w:rsidR="00F7394D" w:rsidRPr="00F7394D">
        <w:t>We</w:t>
      </w:r>
      <w:proofErr w:type="gramEnd"/>
      <w:r w:rsidR="00F7394D" w:rsidRPr="00F7394D">
        <w:t xml:space="preserve"> </w:t>
      </w:r>
      <w:r w:rsidR="00F7394D" w:rsidRPr="0098062C">
        <w:t xml:space="preserve">carried out a full document review and then focussed on engaging with people involved in the </w:t>
      </w:r>
      <w:r w:rsidR="00F7394D" w:rsidRPr="00F7394D">
        <w:t xml:space="preserve">programmes </w:t>
      </w:r>
      <w:r w:rsidR="00F7394D" w:rsidRPr="0098062C">
        <w:t>activities</w:t>
      </w:r>
      <w:r w:rsidR="00F7394D">
        <w:t>.</w:t>
      </w:r>
      <w:r w:rsidR="006504E2" w:rsidRPr="006504E2">
        <w:t xml:space="preserve"> In depth interviews with families that have used the service</w:t>
      </w:r>
      <w:r w:rsidR="00F7394D">
        <w:t xml:space="preserve"> and s</w:t>
      </w:r>
      <w:r w:rsidR="006504E2" w:rsidRPr="006504E2">
        <w:t xml:space="preserve">emi-structured interviews with </w:t>
      </w:r>
      <w:r w:rsidR="006504E2">
        <w:t>key stakeholders</w:t>
      </w:r>
      <w:r w:rsidR="006504E2" w:rsidRPr="006504E2">
        <w:t xml:space="preserve"> and a survey completed by </w:t>
      </w:r>
      <w:r w:rsidR="00F7394D">
        <w:t xml:space="preserve">stakeholders and social workers. </w:t>
      </w:r>
      <w:r w:rsidR="008B2E4A">
        <w:t>We carried ou</w:t>
      </w:r>
      <w:r w:rsidR="00E032CB">
        <w:t>t f</w:t>
      </w:r>
      <w:r w:rsidR="006504E2" w:rsidRPr="006504E2">
        <w:t xml:space="preserve">ace-to-face and telephone interviews with </w:t>
      </w:r>
      <w:proofErr w:type="spellStart"/>
      <w:r w:rsidR="006504E2" w:rsidRPr="006504E2">
        <w:t>Aberlour</w:t>
      </w:r>
      <w:proofErr w:type="spellEnd"/>
      <w:r w:rsidR="006504E2" w:rsidRPr="006504E2">
        <w:t xml:space="preserve"> management and delivery staff and a focus group with </w:t>
      </w:r>
      <w:proofErr w:type="spellStart"/>
      <w:r w:rsidR="006504E2" w:rsidRPr="006504E2">
        <w:t>Aberlour</w:t>
      </w:r>
      <w:proofErr w:type="spellEnd"/>
      <w:r w:rsidR="006504E2" w:rsidRPr="006504E2">
        <w:t xml:space="preserve"> delivery staff</w:t>
      </w:r>
    </w:p>
    <w:p w14:paraId="184A1542" w14:textId="72D94F49" w:rsidR="00FF2DDB" w:rsidRPr="0098062C" w:rsidRDefault="00FF2DDB" w:rsidP="00FF2DDB">
      <w:r>
        <w:rPr>
          <w:b/>
          <w:bCs/>
        </w:rPr>
        <w:t>Finding</w:t>
      </w:r>
      <w:r w:rsidR="00981D3C">
        <w:rPr>
          <w:b/>
          <w:bCs/>
        </w:rPr>
        <w:t>s</w:t>
      </w:r>
      <w:r>
        <w:rPr>
          <w:b/>
          <w:bCs/>
        </w:rPr>
        <w:t>:</w:t>
      </w:r>
      <w:r w:rsidRPr="0098062C">
        <w:rPr>
          <w:b/>
          <w:bCs/>
        </w:rPr>
        <w:t> </w:t>
      </w:r>
      <w:r w:rsidR="000115DD" w:rsidRPr="000115DD">
        <w:t>The service is achieving its objectives.  The Sustain service is reaching the right children and families. Due to the well-functioning gatekeeping all service users were children at the edge of care (100%) and families in crisis.</w:t>
      </w:r>
      <w:r w:rsidR="006E4EED" w:rsidRPr="006E4EED">
        <w:t xml:space="preserve"> </w:t>
      </w:r>
      <w:r w:rsidR="006E4EED" w:rsidRPr="006E4EED">
        <w:t>The Sustain approach of delivering flexible, intensive, whole-family support and thus addressing the root causes rather than responding to an immediate crisis situation has a positive impact on family relationships.</w:t>
      </w:r>
      <w:r w:rsidR="00000707">
        <w:t xml:space="preserve"> Following SROI methods we </w:t>
      </w:r>
      <w:r w:rsidR="00821DFA">
        <w:t>calculated the</w:t>
      </w:r>
      <w:r w:rsidR="006B5388">
        <w:t xml:space="preserve"> social value delivered</w:t>
      </w:r>
      <w:r w:rsidR="002840BF">
        <w:t xml:space="preserve"> </w:t>
      </w:r>
      <w:r w:rsidR="002456C4">
        <w:t>to Falkirk Council</w:t>
      </w:r>
      <w:r w:rsidR="00C75E15">
        <w:t xml:space="preserve">. </w:t>
      </w:r>
      <w:r w:rsidR="002456C4">
        <w:t xml:space="preserve"> </w:t>
      </w:r>
      <w:r w:rsidR="00C75E15">
        <w:t>F</w:t>
      </w:r>
      <w:r w:rsidR="002456C4">
        <w:t>or every £1 invested in this project</w:t>
      </w:r>
      <w:r w:rsidR="00C75E15">
        <w:t xml:space="preserve"> more than £13</w:t>
      </w:r>
      <w:r w:rsidR="000C00B1">
        <w:t xml:space="preserve"> of social value was delivered.</w:t>
      </w:r>
    </w:p>
    <w:p w14:paraId="3B016F5F" w14:textId="1003BE46" w:rsidR="008E7F66" w:rsidRDefault="00FF2DDB">
      <w:r>
        <w:rPr>
          <w:b/>
          <w:bCs/>
        </w:rPr>
        <w:t>Outcomes and benefits</w:t>
      </w:r>
      <w:r w:rsidR="00E97E76" w:rsidRPr="00E97E76">
        <w:t xml:space="preserve"> </w:t>
      </w:r>
      <w:r w:rsidR="00E97E76" w:rsidRPr="00E97E76">
        <w:t xml:space="preserve">Sustain can reduce some pressure on Social Work staff, in the sense that they do not have to spend as much time on </w:t>
      </w:r>
      <w:r w:rsidR="00000707">
        <w:t>Sustain Falki</w:t>
      </w:r>
      <w:r w:rsidR="000C00B1">
        <w:t>r</w:t>
      </w:r>
      <w:r w:rsidR="00000707">
        <w:t xml:space="preserve">k </w:t>
      </w:r>
      <w:r w:rsidR="00E97E76" w:rsidRPr="00E97E76">
        <w:t>cases freeing some time for other cases.</w:t>
      </w:r>
      <w:r w:rsidR="00981D3C">
        <w:t xml:space="preserve"> The project delivers high value for money.</w:t>
      </w:r>
    </w:p>
    <w:sectPr w:rsidR="008E7F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3F6"/>
    <w:rsid w:val="00000707"/>
    <w:rsid w:val="000115DD"/>
    <w:rsid w:val="0008543A"/>
    <w:rsid w:val="000C00B1"/>
    <w:rsid w:val="000E6A8E"/>
    <w:rsid w:val="001324F3"/>
    <w:rsid w:val="001563F6"/>
    <w:rsid w:val="00191068"/>
    <w:rsid w:val="002456C4"/>
    <w:rsid w:val="002840BF"/>
    <w:rsid w:val="002D29CA"/>
    <w:rsid w:val="00314F13"/>
    <w:rsid w:val="003155A4"/>
    <w:rsid w:val="003201BF"/>
    <w:rsid w:val="0032134E"/>
    <w:rsid w:val="00434C7D"/>
    <w:rsid w:val="00444BD8"/>
    <w:rsid w:val="00472ADF"/>
    <w:rsid w:val="004A2B19"/>
    <w:rsid w:val="005B43C0"/>
    <w:rsid w:val="005D2338"/>
    <w:rsid w:val="005E3C18"/>
    <w:rsid w:val="006024C1"/>
    <w:rsid w:val="006504E2"/>
    <w:rsid w:val="0068367A"/>
    <w:rsid w:val="006A2D2D"/>
    <w:rsid w:val="006A48F3"/>
    <w:rsid w:val="006B5388"/>
    <w:rsid w:val="006C2AB4"/>
    <w:rsid w:val="006E4EED"/>
    <w:rsid w:val="006E72A1"/>
    <w:rsid w:val="0076642F"/>
    <w:rsid w:val="007F333D"/>
    <w:rsid w:val="00821DFA"/>
    <w:rsid w:val="00895172"/>
    <w:rsid w:val="008B2E4A"/>
    <w:rsid w:val="008E7F66"/>
    <w:rsid w:val="0098062C"/>
    <w:rsid w:val="00981D3C"/>
    <w:rsid w:val="00AA26DA"/>
    <w:rsid w:val="00B65BA8"/>
    <w:rsid w:val="00BE1C6E"/>
    <w:rsid w:val="00C75E15"/>
    <w:rsid w:val="00CA4B70"/>
    <w:rsid w:val="00CA7437"/>
    <w:rsid w:val="00D21BDD"/>
    <w:rsid w:val="00D54D72"/>
    <w:rsid w:val="00DD5F56"/>
    <w:rsid w:val="00E032CB"/>
    <w:rsid w:val="00E221E1"/>
    <w:rsid w:val="00E301FA"/>
    <w:rsid w:val="00E46C79"/>
    <w:rsid w:val="00E97E76"/>
    <w:rsid w:val="00EF27DD"/>
    <w:rsid w:val="00F03702"/>
    <w:rsid w:val="00F7394D"/>
    <w:rsid w:val="00FF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8AD48"/>
  <w15:chartTrackingRefBased/>
  <w15:docId w15:val="{F1E8C502-D540-4EBD-B283-3F69C244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F66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E7F66"/>
    <w:pPr>
      <w:keepNext/>
      <w:keepLines/>
      <w:spacing w:before="360" w:after="80"/>
      <w:outlineLvl w:val="0"/>
    </w:pPr>
    <w:rPr>
      <w:rFonts w:eastAsiaTheme="majorEastAsia" w:cstheme="majorBidi"/>
      <w:color w:val="E13F7D"/>
      <w:sz w:val="48"/>
      <w:szCs w:val="40"/>
    </w:rPr>
  </w:style>
  <w:style w:type="paragraph" w:styleId="Heading2">
    <w:name w:val="heading 2"/>
    <w:aliases w:val="Outline2"/>
    <w:basedOn w:val="Normal"/>
    <w:next w:val="Normal"/>
    <w:link w:val="Heading2Char"/>
    <w:unhideWhenUsed/>
    <w:qFormat/>
    <w:rsid w:val="00156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E7F66"/>
    <w:pPr>
      <w:keepNext/>
      <w:keepLines/>
      <w:spacing w:before="160" w:after="80"/>
      <w:outlineLvl w:val="2"/>
    </w:pPr>
    <w:rPr>
      <w:rFonts w:eastAsiaTheme="majorEastAsia" w:cstheme="majorBidi"/>
      <w:color w:val="E13F7D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3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3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3F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3F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3F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3F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F66"/>
    <w:rPr>
      <w:rFonts w:ascii="Arial" w:eastAsiaTheme="majorEastAsia" w:hAnsi="Arial" w:cstheme="majorBidi"/>
      <w:color w:val="E13F7D"/>
      <w:sz w:val="48"/>
      <w:szCs w:val="40"/>
    </w:rPr>
  </w:style>
  <w:style w:type="paragraph" w:styleId="ListParagraph">
    <w:name w:val="List Paragraph"/>
    <w:basedOn w:val="Normal"/>
    <w:autoRedefine/>
    <w:uiPriority w:val="34"/>
    <w:qFormat/>
    <w:rsid w:val="008E7F6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E7F66"/>
    <w:rPr>
      <w:rFonts w:ascii="Arial" w:eastAsiaTheme="majorEastAsia" w:hAnsi="Arial" w:cstheme="majorBidi"/>
      <w:color w:val="E13F7D"/>
      <w:sz w:val="28"/>
      <w:szCs w:val="28"/>
    </w:rPr>
  </w:style>
  <w:style w:type="character" w:customStyle="1" w:styleId="Heading2Char">
    <w:name w:val="Heading 2 Char"/>
    <w:aliases w:val="Outline2 Char"/>
    <w:basedOn w:val="DefaultParagraphFont"/>
    <w:link w:val="Heading2"/>
    <w:rsid w:val="001563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3F6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3F6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3F6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3F6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3F6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3F6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1563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6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3F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6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6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63F6"/>
    <w:rPr>
      <w:rFonts w:ascii="Arial" w:hAnsi="Arial"/>
      <w:i/>
      <w:iCs/>
      <w:color w:val="404040" w:themeColor="text1" w:themeTint="BF"/>
      <w:sz w:val="22"/>
    </w:rPr>
  </w:style>
  <w:style w:type="character" w:styleId="IntenseEmphasis">
    <w:name w:val="Intense Emphasis"/>
    <w:basedOn w:val="DefaultParagraphFont"/>
    <w:uiPriority w:val="21"/>
    <w:qFormat/>
    <w:rsid w:val="001563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3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3F6"/>
    <w:rPr>
      <w:rFonts w:ascii="Arial" w:hAnsi="Arial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1563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0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06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3161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single" w:sz="24" w:space="30" w:color="A6E8FF"/>
            <w:bottom w:val="none" w:sz="0" w:space="0" w:color="auto"/>
            <w:right w:val="none" w:sz="0" w:space="0" w:color="auto"/>
          </w:divBdr>
        </w:div>
      </w:divsChild>
    </w:div>
    <w:div w:id="408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portengland.org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1218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Gourlay</dc:creator>
  <cp:keywords/>
  <dc:description/>
  <cp:lastModifiedBy>David Gourlay</cp:lastModifiedBy>
  <cp:revision>2</cp:revision>
  <dcterms:created xsi:type="dcterms:W3CDTF">2025-09-25T11:09:00Z</dcterms:created>
  <dcterms:modified xsi:type="dcterms:W3CDTF">2025-09-25T11:09:00Z</dcterms:modified>
</cp:coreProperties>
</file>